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media/image1.jpeg" ContentType="image/jpe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074410" cy="895858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10" cy="895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6" w:before="0" w:after="0"/>
        <w:ind w:firstLine="426"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Рабочая программа учебной дисциплины разработана на основе: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</w:t>
      </w:r>
      <w:bookmarkStart w:id="0" w:name="_Hlk63187963"/>
      <w:r>
        <w:rPr>
          <w:sz w:val="26"/>
          <w:szCs w:val="26"/>
        </w:rPr>
        <w:t xml:space="preserve"> </w:t>
      </w:r>
      <w:bookmarkStart w:id="1" w:name="_Hlk64112970"/>
      <w:r>
        <w:rPr>
          <w:rFonts w:eastAsia="Calibri" w:cs="Times New Roman" w:ascii="Times New Roman" w:hAnsi="Times New Roman"/>
          <w:sz w:val="26"/>
          <w:szCs w:val="26"/>
        </w:rPr>
        <w:t>15.01.32 Оператор станков с программным управлением</w:t>
      </w:r>
      <w:bookmarkEnd w:id="1"/>
      <w:r>
        <w:rPr>
          <w:rFonts w:eastAsia="Calibri" w:cs="Times New Roman" w:ascii="Times New Roman" w:hAnsi="Times New Roman"/>
          <w:bCs/>
          <w:sz w:val="26"/>
          <w:szCs w:val="26"/>
          <w:lang w:eastAsia="ru-RU"/>
        </w:rPr>
        <w:t>,</w:t>
      </w:r>
      <w:r>
        <w:rPr>
          <w:sz w:val="26"/>
          <w:szCs w:val="26"/>
        </w:rPr>
        <w:t xml:space="preserve"> </w:t>
      </w:r>
      <w:r>
        <w:rPr>
          <w:rFonts w:eastAsia="Calibri" w:cs="Times New Roman" w:ascii="Times New Roman" w:hAnsi="Times New Roman"/>
          <w:bCs/>
          <w:sz w:val="26"/>
          <w:szCs w:val="26"/>
          <w:lang w:eastAsia="ru-RU"/>
        </w:rPr>
        <w:t xml:space="preserve">входящей в состав укрупнённой группы </w:t>
      </w:r>
      <w:bookmarkEnd w:id="0"/>
      <w:r>
        <w:rPr>
          <w:rFonts w:eastAsia="Arial Unicode MS" w:cs="Times New Roman" w:ascii="Times New Roman" w:hAnsi="Times New Roman"/>
          <w:bCs/>
          <w:color w:val="000000"/>
          <w:sz w:val="26"/>
          <w:szCs w:val="26"/>
          <w:lang w:eastAsia="ru-RU" w:bidi="ru-RU"/>
        </w:rPr>
        <w:t>15.00.00 Машиностроение</w:t>
      </w:r>
      <w:r>
        <w:rPr>
          <w:rFonts w:eastAsia="Calibri" w:cs="Times New Roman" w:ascii="Times New Roman" w:hAnsi="Times New Roman"/>
          <w:sz w:val="26"/>
          <w:szCs w:val="26"/>
          <w:lang w:eastAsia="ru-RU"/>
        </w:rPr>
        <w:t>, Приказ Минобрнауки России от 09.12.2016 N 1555;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  <w:lang w:eastAsia="ru-RU"/>
        </w:rPr>
        <w:t xml:space="preserve">- </w:t>
      </w:r>
      <w:r>
        <w:rPr>
          <w:rFonts w:eastAsia="Calibri" w:cs="Times New Roman" w:ascii="Times New Roman" w:hAnsi="Times New Roman"/>
          <w:sz w:val="26"/>
          <w:szCs w:val="26"/>
        </w:rPr>
        <w:t>основной профессиональной образовательной программы по профессии 15.01.32 Оператор станков с программным управлением;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eastAsia="ru-RU"/>
        </w:rPr>
        <w:t xml:space="preserve">- рабочей программы воспитания по профессии </w:t>
      </w:r>
      <w:r>
        <w:rPr>
          <w:rFonts w:cs="Times New Roman" w:ascii="Times New Roman" w:hAnsi="Times New Roman"/>
          <w:sz w:val="26"/>
          <w:szCs w:val="26"/>
        </w:rPr>
        <w:t>15.01.32 «Оператор станков с программным управлением»,</w:t>
      </w:r>
      <w:r>
        <w:rPr>
          <w:rFonts w:cs="Times New Roman" w:ascii="Times New Roman" w:hAnsi="Times New Roman"/>
          <w:sz w:val="26"/>
          <w:szCs w:val="26"/>
          <w:lang w:eastAsia="ru-RU"/>
        </w:rPr>
        <w:t xml:space="preserve"> 2022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6"/>
          <w:szCs w:val="26"/>
          <w:u w:val="single"/>
          <w:lang w:eastAsia="ru-RU"/>
        </w:rPr>
      </w:pPr>
      <w:r>
        <w:rPr>
          <w:rFonts w:cs="Times New Roman" w:ascii="Times New Roman" w:hAnsi="Times New Roman"/>
          <w:b/>
          <w:sz w:val="26"/>
          <w:szCs w:val="26"/>
          <w:u w:val="single"/>
          <w:lang w:eastAsia="ru-RU"/>
        </w:rPr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bCs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Cs/>
          <w:sz w:val="26"/>
          <w:szCs w:val="26"/>
          <w:lang w:eastAsia="ru-RU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b/>
          <w:b/>
          <w:sz w:val="26"/>
          <w:szCs w:val="26"/>
          <w:u w:val="single"/>
        </w:rPr>
      </w:pPr>
      <w:r>
        <w:rPr>
          <w:rFonts w:eastAsia="Calibri" w:cs="Times New Roman" w:ascii="Times New Roman" w:hAnsi="Times New Roman"/>
          <w:b/>
          <w:sz w:val="26"/>
          <w:szCs w:val="26"/>
          <w:u w:val="single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b/>
          <w:b/>
          <w:sz w:val="26"/>
          <w:szCs w:val="26"/>
          <w:u w:val="single"/>
        </w:rPr>
      </w:pPr>
      <w:r>
        <w:rPr>
          <w:rFonts w:eastAsia="Calibri" w:cs="Times New Roman" w:ascii="Times New Roman" w:hAnsi="Times New Roman"/>
          <w:b/>
          <w:sz w:val="26"/>
          <w:szCs w:val="26"/>
          <w:u w:val="single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b/>
          <w:b/>
          <w:sz w:val="26"/>
          <w:szCs w:val="26"/>
          <w:u w:val="single"/>
        </w:rPr>
      </w:pPr>
      <w:r>
        <w:rPr>
          <w:rFonts w:eastAsia="Calibri" w:cs="Times New Roman" w:ascii="Times New Roman" w:hAnsi="Times New Roman"/>
          <w:b/>
          <w:sz w:val="26"/>
          <w:szCs w:val="26"/>
          <w:u w:val="single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sz w:val="26"/>
          <w:szCs w:val="26"/>
          <w:u w:val="single"/>
        </w:rPr>
      </w:pPr>
      <w:r>
        <w:rPr>
          <w:rFonts w:eastAsia="Calibri" w:cs="Times New Roman" w:ascii="Times New Roman" w:hAnsi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eastAsia="Calibri" w:cs="Times New Roman" w:ascii="Times New Roman" w:hAnsi="Times New Roman"/>
          <w:sz w:val="26"/>
          <w:szCs w:val="26"/>
          <w:u w:val="single"/>
        </w:rPr>
        <w:t>ГАПОУ  «Казанский политехнический колледж»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Разработчик: Худякова А.Н , преподаватель</w:t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  <w:u w:val="single"/>
        </w:rPr>
      </w:pPr>
      <w:r>
        <w:rPr>
          <w:rFonts w:eastAsia="Calibri" w:cs="Times New Roman" w:ascii="Times New Roman" w:hAnsi="Times New Roman"/>
          <w:b/>
          <w:sz w:val="26"/>
          <w:szCs w:val="26"/>
          <w:u w:val="single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sz w:val="26"/>
          <w:szCs w:val="26"/>
          <w:u w:val="single"/>
        </w:rPr>
      </w:pPr>
      <w:r>
        <w:rPr>
          <w:rFonts w:eastAsia="Calibri" w:cs="Times New Roman" w:ascii="Times New Roman" w:hAnsi="Times New Roman"/>
          <w:b/>
          <w:sz w:val="26"/>
          <w:szCs w:val="26"/>
          <w:u w:val="single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center"/>
        <w:outlineLvl w:val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76" w:before="0" w:after="200"/>
        <w:rPr>
          <w:rFonts w:ascii="Calibri" w:hAnsi="Calibri" w:eastAsia="Calibri" w:cs="Times New Roman"/>
          <w:lang w:eastAsia="ru-RU"/>
        </w:rPr>
      </w:pPr>
      <w:r>
        <w:rPr>
          <w:rFonts w:eastAsia="Calibri" w:cs="Times New Roman"/>
          <w:lang w:eastAsia="ru-RU"/>
        </w:rPr>
      </w:r>
    </w:p>
    <w:p>
      <w:pPr>
        <w:pStyle w:val="Normal"/>
        <w:spacing w:lineRule="auto" w:line="276" w:before="0" w:after="200"/>
        <w:rPr>
          <w:rFonts w:ascii="Calibri" w:hAnsi="Calibri" w:eastAsia="Calibri" w:cs="Times New Roman"/>
          <w:lang w:eastAsia="ru-RU"/>
        </w:rPr>
      </w:pPr>
      <w:r>
        <w:rPr>
          <w:rFonts w:eastAsia="Calibri" w:cs="Times New Roman"/>
          <w:lang w:eastAsia="ru-RU"/>
        </w:rPr>
      </w:r>
    </w:p>
    <w:p>
      <w:pPr>
        <w:pStyle w:val="Normal"/>
        <w:spacing w:lineRule="auto" w:line="276" w:before="0" w:after="200"/>
        <w:rPr>
          <w:rFonts w:ascii="Calibri" w:hAnsi="Calibri" w:eastAsia="Calibri" w:cs="Times New Roman"/>
          <w:lang w:eastAsia="ru-RU"/>
        </w:rPr>
      </w:pPr>
      <w:r>
        <w:rPr>
          <w:rFonts w:eastAsia="Calibri" w:cs="Times New Roman"/>
          <w:lang w:eastAsia="ru-RU"/>
        </w:rPr>
      </w:r>
    </w:p>
    <w:p>
      <w:pPr>
        <w:pStyle w:val="Normal"/>
        <w:spacing w:lineRule="auto" w:line="276" w:before="0" w:after="200"/>
        <w:rPr>
          <w:rFonts w:ascii="Calibri" w:hAnsi="Calibri" w:eastAsia="Calibri" w:cs="Times New Roman"/>
          <w:lang w:eastAsia="ru-RU"/>
        </w:rPr>
      </w:pPr>
      <w:r>
        <w:rPr>
          <w:rFonts w:eastAsia="Calibri" w:cs="Times New Roman"/>
          <w:lang w:eastAsia="ru-RU"/>
        </w:rPr>
      </w:r>
    </w:p>
    <w:p>
      <w:pPr>
        <w:pStyle w:val="Normal"/>
        <w:spacing w:lineRule="auto" w:line="276" w:before="0" w:after="200"/>
        <w:rPr>
          <w:rFonts w:ascii="Calibri" w:hAnsi="Calibri" w:eastAsia="Calibri" w:cs="Times New Roman"/>
          <w:lang w:eastAsia="ru-RU"/>
        </w:rPr>
      </w:pPr>
      <w:r>
        <w:rPr>
          <w:rFonts w:eastAsia="Calibri" w:cs="Times New Roman"/>
          <w:lang w:eastAsia="ru-RU"/>
        </w:rPr>
      </w:r>
    </w:p>
    <w:p>
      <w:pPr>
        <w:pStyle w:val="Normal"/>
        <w:spacing w:lineRule="auto" w:line="276" w:before="0" w:after="200"/>
        <w:rPr>
          <w:rFonts w:ascii="Calibri" w:hAnsi="Calibri" w:eastAsia="Calibri" w:cs="Times New Roman"/>
          <w:lang w:eastAsia="ru-RU"/>
        </w:rPr>
      </w:pPr>
      <w:r>
        <w:rPr>
          <w:rFonts w:eastAsia="Calibri" w:cs="Times New Roman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center"/>
        <w:outlineLvl w:val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center"/>
        <w:outlineLvl w:val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center"/>
        <w:outlineLvl w:val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76" w:before="0" w:after="200"/>
        <w:rPr>
          <w:rFonts w:ascii="Calibri" w:hAnsi="Calibri" w:eastAsia="Calibri" w:cs="Times New Roman"/>
          <w:lang w:eastAsia="ru-RU"/>
        </w:rPr>
      </w:pPr>
      <w:r>
        <w:rPr>
          <w:rFonts w:eastAsia="Calibri" w:cs="Times New Roman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СОДЕРЖАНИЕ</w:t>
      </w:r>
    </w:p>
    <w:tbl>
      <w:tblPr>
        <w:tblW w:w="9355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96"/>
        <w:gridCol w:w="1858"/>
      </w:tblGrid>
      <w:tr>
        <w:trPr/>
        <w:tc>
          <w:tcPr>
            <w:tcW w:w="7496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ind w:left="284" w:hanging="0"/>
              <w:jc w:val="both"/>
              <w:outlineLvl w:val="0"/>
              <w:rPr>
                <w:rFonts w:ascii="Times New Roman" w:hAnsi="Times New Roman" w:eastAsia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aps/>
                <w:sz w:val="24"/>
                <w:szCs w:val="24"/>
                <w:lang w:eastAsia="ru-RU"/>
              </w:rPr>
            </w:r>
          </w:p>
        </w:tc>
        <w:tc>
          <w:tcPr>
            <w:tcW w:w="18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стр.</w:t>
            </w:r>
          </w:p>
        </w:tc>
      </w:tr>
      <w:tr>
        <w:trPr/>
        <w:tc>
          <w:tcPr>
            <w:tcW w:w="7496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1"/>
              </w:numPr>
              <w:spacing w:lineRule="auto" w:line="240" w:before="0" w:after="200"/>
              <w:jc w:val="both"/>
              <w:outlineLvl w:val="0"/>
              <w:rPr>
                <w:rFonts w:ascii="Times New Roman" w:hAnsi="Times New Roman" w:eastAsia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trHeight w:val="670" w:hRule="atLeast"/>
        </w:trPr>
        <w:tc>
          <w:tcPr>
            <w:tcW w:w="7496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1"/>
              </w:numPr>
              <w:spacing w:lineRule="auto" w:line="240" w:before="0" w:after="200"/>
              <w:jc w:val="both"/>
              <w:outlineLvl w:val="0"/>
              <w:rPr>
                <w:rFonts w:ascii="Times New Roman" w:hAnsi="Times New Roman" w:eastAsia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496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1"/>
              </w:numPr>
              <w:spacing w:lineRule="auto" w:line="240" w:before="0" w:after="200"/>
              <w:jc w:val="both"/>
              <w:outlineLvl w:val="0"/>
              <w:rPr>
                <w:rFonts w:ascii="Times New Roman" w:hAnsi="Times New Roman" w:eastAsia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7496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1"/>
              </w:numPr>
              <w:spacing w:lineRule="auto" w:line="240" w:before="0" w:after="200"/>
              <w:jc w:val="both"/>
              <w:outlineLvl w:val="0"/>
              <w:rPr>
                <w:rFonts w:ascii="Times New Roman" w:hAnsi="Times New Roman" w:eastAsia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644" w:leader="none"/>
              </w:tabs>
              <w:spacing w:lineRule="auto" w:line="240" w:before="0" w:after="0"/>
              <w:ind w:left="644" w:hanging="360"/>
              <w:jc w:val="both"/>
              <w:outlineLvl w:val="0"/>
              <w:rPr>
                <w:rFonts w:ascii="Times New Roman" w:hAnsi="Times New Roman" w:eastAsia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aps/>
                <w:sz w:val="24"/>
                <w:szCs w:val="24"/>
                <w:lang w:eastAsia="ru-RU"/>
              </w:rPr>
            </w:r>
          </w:p>
        </w:tc>
        <w:tc>
          <w:tcPr>
            <w:tcW w:w="18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10</w:t>
            </w:r>
          </w:p>
        </w:tc>
      </w:tr>
    </w:tbl>
    <w:p>
      <w:pPr>
        <w:sectPr>
          <w:footerReference w:type="default" r:id="rId3"/>
          <w:type w:val="nextPage"/>
          <w:pgSz w:w="11906" w:h="16838"/>
          <w:pgMar w:left="1701" w:right="850" w:header="0" w:top="1134" w:footer="708" w:bottom="1134" w:gutter="0"/>
          <w:pgNumType w:fmt="decimal"/>
          <w:formProt w:val="false"/>
          <w:titlePg/>
          <w:textDirection w:val="lrTb"/>
          <w:docGrid w:type="default" w:linePitch="299" w:charSpace="4096"/>
        </w:sectPr>
      </w:pP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lang w:eastAsia="ru-RU"/>
        </w:rPr>
        <w:t>1. паспорт ПРОГРАММЫ УЧЕБНОЙ ДИСЦИПЛИНЫ</w:t>
      </w:r>
    </w:p>
    <w:p>
      <w:pPr>
        <w:pStyle w:val="Normal"/>
        <w:numPr>
          <w:ilvl w:val="1"/>
          <w:numId w:val="2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Область применения программы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Cs/>
          <w:i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профессии:</w:t>
      </w:r>
      <w:r>
        <w:rPr>
          <w:rFonts w:eastAsia="Calibri" w:cs="Times New Roman" w:ascii="Times New Roman" w:hAnsi="Times New Roman"/>
          <w:sz w:val="26"/>
          <w:szCs w:val="26"/>
        </w:rPr>
        <w:t xml:space="preserve"> </w:t>
      </w:r>
      <w:bookmarkStart w:id="2" w:name="_Hlk64113798"/>
      <w:r>
        <w:rPr>
          <w:rFonts w:eastAsia="Calibri" w:cs="Times New Roman" w:ascii="Times New Roman" w:hAnsi="Times New Roman"/>
          <w:sz w:val="26"/>
          <w:szCs w:val="26"/>
        </w:rPr>
        <w:t>15.01.32 Оператор станков с программным управлением</w:t>
      </w:r>
      <w:bookmarkEnd w:id="2"/>
      <w:r>
        <w:rPr>
          <w:rFonts w:eastAsia="Calibri" w:cs="Times New Roman" w:ascii="Times New Roman" w:hAnsi="Times New Roman"/>
          <w:bCs/>
          <w:sz w:val="26"/>
          <w:szCs w:val="26"/>
          <w:lang w:eastAsia="ru-RU"/>
        </w:rPr>
        <w:t>,</w:t>
      </w:r>
      <w:r>
        <w:rPr>
          <w:sz w:val="26"/>
          <w:szCs w:val="26"/>
        </w:rPr>
        <w:t xml:space="preserve"> </w:t>
      </w:r>
      <w:r>
        <w:rPr>
          <w:rFonts w:eastAsia="Calibri" w:cs="Times New Roman" w:ascii="Times New Roman" w:hAnsi="Times New Roman"/>
          <w:bCs/>
          <w:sz w:val="26"/>
          <w:szCs w:val="26"/>
          <w:lang w:eastAsia="ru-RU"/>
        </w:rPr>
        <w:t xml:space="preserve">входящей в состав укрупнённой группы </w:t>
      </w:r>
      <w:r>
        <w:rPr>
          <w:rFonts w:eastAsia="Arial Unicode MS" w:cs="Times New Roman" w:ascii="Times New Roman" w:hAnsi="Times New Roman"/>
          <w:bCs/>
          <w:color w:val="000000"/>
          <w:sz w:val="26"/>
          <w:szCs w:val="26"/>
          <w:lang w:eastAsia="ru-RU" w:bidi="ru-RU"/>
        </w:rPr>
        <w:t>15.00.00 Машиностроение</w:t>
      </w:r>
      <w:r>
        <w:rPr>
          <w:rFonts w:eastAsia="Calibri" w:cs="Times New Roman" w:ascii="Times New Roman" w:hAnsi="Times New Roman"/>
          <w:bCs/>
          <w:sz w:val="26"/>
          <w:szCs w:val="26"/>
          <w:lang w:eastAsia="ru-RU"/>
        </w:rPr>
        <w:t>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i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>
      <w:pPr>
        <w:pStyle w:val="Normal"/>
        <w:tabs>
          <w:tab w:val="left" w:pos="522" w:leader="none"/>
          <w:tab w:val="left" w:pos="9498" w:leader="none"/>
        </w:tabs>
        <w:overflowPunct w:val="true"/>
        <w:spacing w:lineRule="auto" w:line="276" w:before="0" w:after="0"/>
        <w:jc w:val="both"/>
        <w:rPr>
          <w:rFonts w:ascii="Times New Roman" w:hAnsi="Times New Roman" w:eastAsia="Calibri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1.2.</w:t>
      </w: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 xml:space="preserve">: </w:t>
      </w:r>
      <w:r>
        <w:rPr>
          <w:rFonts w:eastAsia="Calibri" w:cs="Times New Roman" w:ascii="Times New Roman" w:hAnsi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>
      <w:pPr>
        <w:pStyle w:val="Normal"/>
        <w:tabs>
          <w:tab w:val="left" w:pos="522" w:leader="none"/>
          <w:tab w:val="left" w:pos="9498" w:leader="none"/>
        </w:tabs>
        <w:overflowPunct w:val="true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/>
          <w:i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уметь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i/>
          <w:i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6"/>
          <w:szCs w:val="26"/>
          <w:lang w:eastAsia="ru-RU"/>
        </w:rPr>
        <w:t xml:space="preserve">-принимать участие в разработке теоретико-методической основы принятия стратегических и операционных решений предприятий по поэтапному переходу к принципам циркулярной экономики;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i/>
          <w:i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6"/>
          <w:szCs w:val="26"/>
          <w:lang w:eastAsia="ru-RU"/>
        </w:rPr>
        <w:t xml:space="preserve">-исследовать экологических и социально-экономических эффектов циркулярной экономики, способствующих решению ряда глобальных экологических проблем;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i/>
          <w:i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6"/>
          <w:szCs w:val="26"/>
          <w:lang w:eastAsia="ru-RU"/>
        </w:rPr>
        <w:t xml:space="preserve">-выявлять проблемы и факторы, влияющие на развитие принципов циркулярной экономики в России;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i/>
          <w:i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6"/>
          <w:szCs w:val="26"/>
          <w:lang w:eastAsia="ru-RU"/>
        </w:rPr>
        <w:t xml:space="preserve">-перерабатывать отходы и производить новые товары из старых, а также использовать возобновляемые источники энергии;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6"/>
          <w:szCs w:val="26"/>
          <w:lang w:eastAsia="ru-RU"/>
        </w:rPr>
        <w:t>-разрабатывать и использовать инновационные бизнес-модели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знать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i/>
          <w:i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6"/>
          <w:szCs w:val="26"/>
          <w:lang w:eastAsia="ru-RU"/>
        </w:rPr>
        <w:t xml:space="preserve">-основные принципы циркулярной экономики;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i/>
          <w:i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6"/>
          <w:szCs w:val="26"/>
          <w:lang w:eastAsia="ru-RU"/>
        </w:rPr>
        <w:t xml:space="preserve">-о роли циркулярной экономики в решении глобальных проблем при переходе к четвертой промышленной революции;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i/>
          <w:i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6"/>
          <w:szCs w:val="26"/>
          <w:lang w:eastAsia="ru-RU"/>
        </w:rPr>
        <w:t xml:space="preserve">-о развитии концепции циркулярной экономики в рамках теории устойчивого развития и перехода к четвертой промышленной революции;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i/>
          <w:i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6"/>
          <w:szCs w:val="26"/>
          <w:lang w:eastAsia="ru-RU"/>
        </w:rPr>
        <w:t xml:space="preserve">-об анализе и систематизацию научных подходов к категории «циркулярная экономика» и ее основным элементам в рамках концепции устойчивого развития и в условиях цифровизации экономики;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i/>
          <w:i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6"/>
          <w:szCs w:val="26"/>
          <w:lang w:eastAsia="ru-RU"/>
        </w:rPr>
        <w:t xml:space="preserve">-методику оценки экологического дизайна продукта для повторного использования, восстановления или переработки;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i/>
          <w:i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6"/>
          <w:szCs w:val="26"/>
          <w:lang w:eastAsia="ru-RU"/>
        </w:rPr>
        <w:t>-основополагающие элементы циркулярного производства на основе концепций бережливого и «зеленого» производства, всеобщего управления качеством и корпоративной социальной ответственности, а также критерии выбора циркулярных поставщиков с учетом экономических, экологических и социальных показателей;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(ОК):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bookmarkStart w:id="3" w:name="sub_1322"/>
      <w:bookmarkEnd w:id="3"/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bookmarkStart w:id="4" w:name="sub_1322"/>
      <w:bookmarkStart w:id="5" w:name="sub_1323"/>
      <w:bookmarkEnd w:id="4"/>
      <w:bookmarkEnd w:id="5"/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bookmarkStart w:id="6" w:name="sub_1323"/>
      <w:bookmarkStart w:id="7" w:name="sub_1324"/>
      <w:bookmarkEnd w:id="6"/>
      <w:bookmarkEnd w:id="7"/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bookmarkStart w:id="8" w:name="sub_1324"/>
      <w:bookmarkStart w:id="9" w:name="sub_1325"/>
      <w:bookmarkEnd w:id="8"/>
      <w:bookmarkEnd w:id="9"/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bookmarkStart w:id="10" w:name="sub_1325"/>
      <w:bookmarkStart w:id="11" w:name="sub_1327"/>
      <w:bookmarkEnd w:id="10"/>
      <w:bookmarkEnd w:id="11"/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bookmarkStart w:id="12" w:name="sub_1327"/>
      <w:bookmarkStart w:id="13" w:name="sub_1329"/>
      <w:bookmarkEnd w:id="12"/>
      <w:bookmarkEnd w:id="13"/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ОК 09. Использовать информационные технологии в профессиональной деятельности.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bookmarkStart w:id="14" w:name="sub_1329"/>
      <w:bookmarkStart w:id="15" w:name="sub_1331"/>
      <w:bookmarkEnd w:id="14"/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  <w:bookmarkEnd w:id="15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Выпускник, освоивший программу ОП.12 Основы циркулярной экономики, должен обладать личностными результатами в соответствии с рабочей программой воспитания по профессии программы подготовки квалифицированных рабочих и служащих </w:t>
      </w:r>
      <w:r>
        <w:rPr>
          <w:rFonts w:cs="Times New Roman" w:ascii="Times New Roman" w:hAnsi="Times New Roman"/>
          <w:sz w:val="26"/>
          <w:szCs w:val="26"/>
        </w:rPr>
        <w:t>15.01.32 Оператор станков с программным управлением</w:t>
      </w:r>
      <w:r>
        <w:rPr>
          <w:rFonts w:cs="Times New Roman" w:ascii="Times New Roman" w:hAnsi="Times New Roman"/>
          <w:color w:val="000000"/>
          <w:sz w:val="26"/>
          <w:szCs w:val="26"/>
        </w:rPr>
        <w:t>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ЛР. 9 Экономически активный, предприимчивый, готовый к самозанятости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ЛР. 10 Способный в цифровой среде использовать различные цифровые средства, позволяющие во взаимодействии с другими людьми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ЛР.14 Заботящийся о защите окружающей среды, собственной и чужой безопасности,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том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числе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цифровой</w:t>
      </w:r>
    </w:p>
    <w:p>
      <w:pPr>
        <w:pStyle w:val="BodyTextIndent2"/>
        <w:spacing w:lineRule="auto" w:line="240" w:before="0" w:after="0"/>
        <w:ind w:left="0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keepNext w:val="true"/>
        <w:keepLines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i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>
      <w:pPr>
        <w:pStyle w:val="Normal"/>
        <w:keepNext w:val="true"/>
        <w:keepLines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i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,</w:t>
      </w:r>
      <w:r>
        <w:rPr>
          <w:rFonts w:eastAsia="Times New Roman" w:cs="Times New Roman" w:ascii="Times New Roman" w:hAnsi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всего учебной нагрузки обучающегося 32 ч, в том числе: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6"/>
          <w:szCs w:val="26"/>
        </w:rPr>
        <w:t>нагрузка во взаимодействии с преподавателем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32 ч;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 том числе теоретическое обучение – 24 часов, ЛПЗ-8 часов;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numPr>
          <w:ilvl w:val="0"/>
          <w:numId w:val="2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495" w:hanging="0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ListParagraph"/>
        <w:numPr>
          <w:ilvl w:val="1"/>
          <w:numId w:val="2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Объем учебной дисциплины и виды учебной работы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</w:r>
    </w:p>
    <w:tbl>
      <w:tblPr>
        <w:tblW w:w="9124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431"/>
        <w:gridCol w:w="1640"/>
        <w:gridCol w:w="52"/>
      </w:tblGrid>
      <w:tr>
        <w:trPr>
          <w:trHeight w:val="454" w:hRule="atLeast"/>
        </w:trPr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>
        <w:trPr>
          <w:trHeight w:val="454" w:hRule="atLeast"/>
        </w:trPr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Всего во взаимодействии с преподавателем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6"/>
                <w:szCs w:val="26"/>
                <w:lang w:eastAsia="ru-RU"/>
              </w:rPr>
              <w:t>32</w:t>
            </w:r>
          </w:p>
        </w:tc>
      </w:tr>
      <w:tr>
        <w:trPr>
          <w:trHeight w:val="454" w:hRule="atLeast"/>
        </w:trPr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6"/>
                <w:szCs w:val="26"/>
                <w:lang w:eastAsia="ru-RU"/>
              </w:rPr>
            </w:r>
          </w:p>
        </w:tc>
      </w:tr>
      <w:tr>
        <w:trPr>
          <w:trHeight w:val="454" w:hRule="atLeast"/>
        </w:trPr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6"/>
                <w:szCs w:val="26"/>
                <w:lang w:eastAsia="ru-RU"/>
              </w:rPr>
              <w:t>24</w:t>
            </w:r>
          </w:p>
        </w:tc>
      </w:tr>
      <w:tr>
        <w:trPr>
          <w:trHeight w:val="454" w:hRule="atLeast"/>
        </w:trPr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6"/>
                <w:szCs w:val="26"/>
                <w:lang w:eastAsia="ru-RU"/>
              </w:rPr>
              <w:t>8</w:t>
            </w:r>
          </w:p>
        </w:tc>
      </w:tr>
      <w:tr>
        <w:trPr>
          <w:trHeight w:val="454" w:hRule="atLeast"/>
        </w:trPr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 том числе, в форме практической подготовки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>
        <w:trPr>
          <w:trHeight w:val="772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60"/>
              <w:rPr>
                <w:b/>
                <w:b/>
                <w:bCs/>
                <w:i/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Форма промежуточной аттестации     в форме дифференцированного зачёта</w:t>
            </w:r>
            <w:r>
              <w:rPr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52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-180" w:hanging="0"/>
        <w:jc w:val="center"/>
        <w:rPr>
          <w:rFonts w:ascii="Times New Roman" w:hAnsi="Times New Roman" w:eastAsia="Times New Roman" w:cs="Times New Roman"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u w:val="single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-180" w:right="-185" w:hanging="0"/>
        <w:jc w:val="both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sectPr>
          <w:footerReference w:type="default" r:id="rId4"/>
          <w:type w:val="nextPage"/>
          <w:pgSz w:w="11906" w:h="16838"/>
          <w:pgMar w:left="1701" w:right="850" w:header="0" w:top="1134" w:footer="708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keepNext w:val="true"/>
        <w:jc w:val="center"/>
        <w:rPr/>
      </w:pPr>
      <w:r>
        <w:rPr/>
      </w:r>
      <w:bookmarkStart w:id="16" w:name="_Hlk22156480"/>
      <w:bookmarkStart w:id="17" w:name="_Hlk22156480"/>
      <w:bookmarkEnd w:id="17"/>
    </w:p>
    <w:tbl>
      <w:tblPr>
        <w:tblStyle w:val="1"/>
        <w:tblW w:w="14570" w:type="dxa"/>
        <w:jc w:val="center"/>
        <w:tblInd w:w="0" w:type="dxa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13"/>
        <w:gridCol w:w="562"/>
        <w:gridCol w:w="8299"/>
        <w:gridCol w:w="2"/>
        <w:gridCol w:w="1604"/>
        <w:gridCol w:w="2"/>
        <w:gridCol w:w="1288"/>
      </w:tblGrid>
      <w:tr>
        <w:trPr/>
        <w:tc>
          <w:tcPr>
            <w:tcW w:w="14570" w:type="dxa"/>
            <w:gridSpan w:val="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/>
                <w:b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2.2. Тематический план и содержание учебной дисциплины ОП.12 Основы циркулярной экономики</w:t>
            </w:r>
          </w:p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7"/>
            <w:tcBorders>
              <w:top w:val="nil"/>
            </w:tcBorders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2813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863" w:type="dxa"/>
            <w:gridSpan w:val="3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Количество часов</w:t>
            </w:r>
          </w:p>
        </w:tc>
        <w:tc>
          <w:tcPr>
            <w:tcW w:w="1288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>
        <w:trPr/>
        <w:tc>
          <w:tcPr>
            <w:tcW w:w="2813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63" w:type="dxa"/>
            <w:gridSpan w:val="3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06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88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4</w:t>
            </w:r>
          </w:p>
        </w:tc>
      </w:tr>
      <w:tr>
        <w:trPr/>
        <w:tc>
          <w:tcPr>
            <w:tcW w:w="2813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b/>
                <w:b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 xml:space="preserve">Раздел 1. </w:t>
            </w:r>
          </w:p>
          <w:p>
            <w:pPr>
              <w:pStyle w:val="Normal"/>
              <w:keepNext w:val="true"/>
              <w:spacing w:lineRule="auto" w:line="240" w:before="0" w:after="0"/>
              <w:rPr>
                <w:b/>
                <w:b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Основы циркулярной экономики</w:t>
            </w:r>
          </w:p>
        </w:tc>
        <w:tc>
          <w:tcPr>
            <w:tcW w:w="8863" w:type="dxa"/>
            <w:gridSpan w:val="3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1288" w:type="dxa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2813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8863" w:type="dxa"/>
            <w:gridSpan w:val="3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288" w:type="dxa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2813" w:type="dxa"/>
            <w:vMerge w:val="restart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Тема 1.1.  </w:t>
            </w:r>
          </w:p>
          <w:p>
            <w:pPr>
              <w:pStyle w:val="Normal"/>
              <w:keepNext w:val="true"/>
              <w:spacing w:lineRule="auto" w:line="240" w:before="0" w:after="0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Введение в циркулярную экономику</w:t>
            </w:r>
          </w:p>
        </w:tc>
        <w:tc>
          <w:tcPr>
            <w:tcW w:w="562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1-2</w:t>
            </w:r>
          </w:p>
        </w:tc>
        <w:tc>
          <w:tcPr>
            <w:tcW w:w="829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Циркулярная экономика: основные понятия и особенности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 w:val="restart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2813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2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29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Модель циркулярной экономики и этапы ее формирования.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2813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2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829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Структура, инфраструктура и уровни циркулярной экономики.</w:t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2813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2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7-8</w:t>
            </w:r>
          </w:p>
        </w:tc>
        <w:tc>
          <w:tcPr>
            <w:tcW w:w="829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Практические работа №1 Практическая подготовка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Сравнительный анализ определений «циркулярная экономика», «зеленая экономика», «экономика замкнутого цикла», «экономика совместного потребления», «шеринг экономика», «безотходная экономика». Составить таблицу с указанием авторов и источника.</w:t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2813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63" w:type="dxa"/>
            <w:gridSpan w:val="3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288" w:type="dxa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2813" w:type="dxa"/>
            <w:vMerge w:val="restart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Тема 1.2. </w:t>
            </w:r>
          </w:p>
          <w:p>
            <w:pPr>
              <w:pStyle w:val="Normal"/>
              <w:keepNext w:val="tru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Микроуровень циркулярной экономики</w:t>
            </w:r>
          </w:p>
        </w:tc>
        <w:tc>
          <w:tcPr>
            <w:tcW w:w="562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9-10</w:t>
            </w:r>
          </w:p>
        </w:tc>
        <w:tc>
          <w:tcPr>
            <w:tcW w:w="829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Классификация ресурсов в циркулярной экономике.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 w:val="restart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2813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2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11-12</w:t>
            </w:r>
          </w:p>
        </w:tc>
        <w:tc>
          <w:tcPr>
            <w:tcW w:w="829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Собственность в системе циркулярной экономики.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2813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2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13-14</w:t>
            </w:r>
          </w:p>
        </w:tc>
        <w:tc>
          <w:tcPr>
            <w:tcW w:w="829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Бизнес-модели в циркулярной экономике.</w:t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2813" w:type="dxa"/>
            <w:vMerge w:val="restart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2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15-16</w:t>
            </w:r>
          </w:p>
        </w:tc>
        <w:tc>
          <w:tcPr>
            <w:tcW w:w="829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Модели совместного поведения потребителей в циркулярной экономике.</w:t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2813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2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17-18</w:t>
            </w:r>
          </w:p>
        </w:tc>
        <w:tc>
          <w:tcPr>
            <w:tcW w:w="829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Практические работа №2  Практическая подготовка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Приведите примеры использования указанных бизнес-моделей в хозяйственной практике различных стран.</w:t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  <w:bookmarkStart w:id="18" w:name="_Hlk24893870"/>
            <w:bookmarkEnd w:id="18"/>
          </w:p>
        </w:tc>
      </w:tr>
      <w:tr>
        <w:trPr/>
        <w:tc>
          <w:tcPr>
            <w:tcW w:w="2813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63" w:type="dxa"/>
            <w:gridSpan w:val="3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76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288" w:type="dxa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2813" w:type="dxa"/>
            <w:vMerge w:val="restart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Тема 1.3.  </w:t>
            </w:r>
          </w:p>
          <w:p>
            <w:pPr>
              <w:pStyle w:val="Normal"/>
              <w:keepNext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Макроуровень циркулярной экономики</w:t>
            </w:r>
          </w:p>
        </w:tc>
        <w:tc>
          <w:tcPr>
            <w:tcW w:w="562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19-20</w:t>
            </w:r>
          </w:p>
        </w:tc>
        <w:tc>
          <w:tcPr>
            <w:tcW w:w="829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Основные функции модели циркулярной экономики на макроуровне.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 w:val="restart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</w:tr>
      <w:tr>
        <w:trPr/>
        <w:tc>
          <w:tcPr>
            <w:tcW w:w="2813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2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21-22</w:t>
            </w:r>
          </w:p>
        </w:tc>
        <w:tc>
          <w:tcPr>
            <w:tcW w:w="829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Макроэкономические эффекты и проблемы перехода к циркулярной экономике</w:t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2813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2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23-24</w:t>
            </w:r>
          </w:p>
        </w:tc>
        <w:tc>
          <w:tcPr>
            <w:tcW w:w="829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Практические работа №3 Практическая подготовка</w:t>
            </w:r>
            <w:bookmarkStart w:id="19" w:name="_Hlk24893909"/>
            <w:bookmarkEnd w:id="19"/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На примере статистических данных определите возможные макроэкономические эффекты перехода к циркулярной экономике в конкретной стране.</w:t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2813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63" w:type="dxa"/>
            <w:gridSpan w:val="3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76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1288" w:type="dxa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2813" w:type="dxa"/>
            <w:vMerge w:val="restart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Тема 1.4. Отечественный опыт создания циркулярной экономики</w:t>
            </w:r>
          </w:p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562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25-26</w:t>
            </w:r>
          </w:p>
        </w:tc>
        <w:tc>
          <w:tcPr>
            <w:tcW w:w="829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Необходимость и нормативно-правовая база циркулярной экономики России</w:t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 w:val="restart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2813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2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27-28</w:t>
            </w:r>
          </w:p>
        </w:tc>
        <w:tc>
          <w:tcPr>
            <w:tcW w:w="829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Проблемы </w:t>
            </w:r>
            <w:bookmarkStart w:id="20" w:name="_Hlk63521875"/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развития циркулярной экономики в России</w:t>
            </w:r>
            <w:bookmarkEnd w:id="20"/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2813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2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29-30</w:t>
            </w:r>
          </w:p>
        </w:tc>
        <w:tc>
          <w:tcPr>
            <w:tcW w:w="829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Перспективы развития циркулярной экономики в России</w:t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2813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2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31-32</w:t>
            </w:r>
          </w:p>
        </w:tc>
        <w:tc>
          <w:tcPr>
            <w:tcW w:w="829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Практические работа №4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2</w:t>
            </w:r>
            <w:bookmarkStart w:id="21" w:name="_Hlk24893929"/>
            <w:bookmarkEnd w:id="21"/>
          </w:p>
        </w:tc>
      </w:tr>
      <w:tr>
        <w:trPr>
          <w:trHeight w:val="447" w:hRule="atLeast"/>
        </w:trPr>
        <w:tc>
          <w:tcPr>
            <w:tcW w:w="2813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562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299" w:type="dxa"/>
            <w:tcBorders/>
            <w:shd w:fill="auto" w:val="clear"/>
          </w:tcPr>
          <w:p>
            <w:pPr>
              <w:pStyle w:val="Normal"/>
              <w:keepNext w:val="tru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60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29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  <w:bookmarkStart w:id="22" w:name="_Hlk22154484"/>
            <w:bookmarkStart w:id="23" w:name="_Hlk22154484"/>
            <w:bookmarkEnd w:id="23"/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firstLine="70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>
      <w:pPr>
        <w:pStyle w:val="Normal"/>
        <w:spacing w:lineRule="auto" w:line="240" w:before="0" w:after="0"/>
        <w:ind w:firstLine="70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1 - ознакомительный (узнавание ранее изученных объектов, свойств)</w:t>
      </w:r>
    </w:p>
    <w:p>
      <w:pPr>
        <w:pStyle w:val="Normal"/>
        <w:spacing w:lineRule="auto" w:line="240" w:before="0" w:after="0"/>
        <w:ind w:firstLine="70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2 - репродуктивный (выполнение деятельности по образцу, инструкции или под руководством)</w:t>
      </w:r>
    </w:p>
    <w:p>
      <w:pPr>
        <w:pStyle w:val="Normal"/>
        <w:spacing w:lineRule="auto" w:line="240" w:before="0" w:after="0"/>
        <w:ind w:firstLine="70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* по заочной форме обучение не предусмотрено</w:t>
      </w:r>
    </w:p>
    <w:p>
      <w:pPr>
        <w:sectPr>
          <w:footerReference w:type="default" r:id="rId5"/>
          <w:type w:val="nextPage"/>
          <w:pgSz w:orient="landscape" w:w="16838" w:h="11906"/>
          <w:pgMar w:left="1134" w:right="1134" w:header="0" w:top="1701" w:footer="709" w:bottom="851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</w:p>
    <w:p>
      <w:pPr>
        <w:pStyle w:val="Normal"/>
        <w:suppressAutoHyphens w:val="true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ar-SA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ar-SA"/>
        </w:rPr>
        <w:t>3.УСЛОВИЯ РЕАЛИЗАЦИИ УЧЕБНОЙ ДИСЦИПЛИНЫ</w:t>
      </w:r>
    </w:p>
    <w:p>
      <w:pPr>
        <w:pStyle w:val="Normal"/>
        <w:suppressAutoHyphens w:val="true"/>
        <w:spacing w:lineRule="auto" w:line="276" w:before="0" w:after="0"/>
        <w:rPr>
          <w:rFonts w:ascii="Times New Roman" w:hAnsi="Times New Roman" w:eastAsia="Times New Roman" w:cs="Times New Roman"/>
          <w:b/>
          <w:b/>
          <w:sz w:val="26"/>
          <w:szCs w:val="26"/>
          <w:lang w:eastAsia="ar-SA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Для реализации учебной дисциплины имеется в наличии учебный кабинет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  <w:t>Оборудование учебного кабинета: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eastAsia="Calibri" w:cs="Times New Roman" w:ascii="Times New Roman" w:hAnsi="Times New Roman"/>
          <w:bCs/>
          <w:sz w:val="26"/>
          <w:szCs w:val="26"/>
        </w:rPr>
        <w:t>- посадочные места по количеству обучающихся;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eastAsia="Calibri" w:cs="Times New Roman" w:ascii="Times New Roman" w:hAnsi="Times New Roman"/>
          <w:bCs/>
          <w:sz w:val="26"/>
          <w:szCs w:val="26"/>
        </w:rPr>
        <w:t>- рабочее место преподавателя;</w:t>
      </w:r>
      <w:bookmarkStart w:id="24" w:name="_GoBack"/>
      <w:bookmarkEnd w:id="24"/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eastAsia="Calibri" w:cs="Times New Roman" w:ascii="Times New Roman" w:hAnsi="Times New Roman"/>
          <w:bCs/>
          <w:sz w:val="26"/>
          <w:szCs w:val="26"/>
        </w:rPr>
        <w:t xml:space="preserve">- комплект учебно-наглядных пособий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  <w:t>-мультимедиа проектор;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  <w:t>-интерактивная доска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u w:val="single"/>
          <w:lang w:eastAsia="ru-RU"/>
        </w:rPr>
        <w:t>Основные источники:</w:t>
      </w:r>
    </w:p>
    <w:p>
      <w:pPr>
        <w:pStyle w:val="ListParagraph"/>
        <w:numPr>
          <w:ilvl w:val="0"/>
          <w:numId w:val="5"/>
        </w:numPr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  <w:t>Рязанова О.Е. Циркулярная экономика: учебное пособие / О.Е.Рязанова, В.П.Золотарева. - Москва: КНОРУС, 2020. - 120 с. -(Бакалавриат и магистратура).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u w:val="single"/>
          <w:lang w:eastAsia="ru-RU"/>
        </w:rPr>
        <w:t>Дополнительные источники: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  <w:t>Ратнер С. В. Циркулярная экономика: теоретические основы и практические приложения в области региональной экономики и управления // Инновации. — 2018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u w:val="single"/>
          <w:lang w:eastAsia="ru-RU"/>
        </w:rPr>
        <w:t xml:space="preserve">Интернет-ресурсы: </w:t>
      </w:r>
    </w:p>
    <w:p>
      <w:pPr>
        <w:pStyle w:val="Normal"/>
        <w:numPr>
          <w:ilvl w:val="0"/>
          <w:numId w:val="3"/>
        </w:numPr>
        <w:spacing w:lineRule="auto" w:line="276" w:before="0" w:after="0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  <w:t>Электронно-библиотечная система – режим доступа: Znanium. com.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  <w:t>Окно открытого доступа Рособразования к информационным ресурсам.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C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u w:val="single"/>
          <w:lang w:eastAsia="ru-RU"/>
        </w:rPr>
        <w:t xml:space="preserve">Сервисы и инструменты: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  <w:t>2. Zoom (режим доступа: https://zoom.us/)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  <w:t>3. https://disk.yandex.ru/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ind w:firstLine="284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>
      <w:p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ind w:firstLine="720"/>
        <w:jc w:val="both"/>
        <w:outlineLvl w:val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Контроль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и оценка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tbl>
      <w:tblPr>
        <w:tblW w:w="9492" w:type="dxa"/>
        <w:jc w:val="lef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57"/>
        <w:gridCol w:w="4834"/>
      </w:tblGrid>
      <w:tr>
        <w:trPr>
          <w:trHeight w:val="381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>
        <w:trPr>
          <w:trHeight w:val="201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6"/>
                <w:szCs w:val="26"/>
                <w:lang w:eastAsia="ru-RU"/>
              </w:rPr>
            </w:r>
          </w:p>
        </w:tc>
      </w:tr>
      <w:tr>
        <w:trPr>
          <w:trHeight w:val="774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6"/>
                <w:szCs w:val="26"/>
                <w:lang w:eastAsia="ru-RU"/>
              </w:rPr>
              <w:t xml:space="preserve">-принимать участие в разработке теоретико-методической основы принятия стратегических и операционных решений предприятий по поэтапному переходу к принципам циркулярной экономики; 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Оценка результатов выполнения практической работы №1,2</w:t>
            </w:r>
          </w:p>
        </w:tc>
      </w:tr>
      <w:tr>
        <w:trPr>
          <w:trHeight w:val="774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6"/>
                <w:szCs w:val="26"/>
                <w:lang w:eastAsia="ru-RU"/>
              </w:rPr>
              <w:t xml:space="preserve">-исследовать экологических и социально-экономических эффектов циркулярной экономики, способствующих решению ряда глобальных экологических проблем; 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Оценка результатов выполнения практических работ №3,4</w:t>
            </w:r>
          </w:p>
        </w:tc>
      </w:tr>
      <w:tr>
        <w:trPr>
          <w:trHeight w:val="774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6"/>
                <w:szCs w:val="26"/>
                <w:lang w:eastAsia="ru-RU"/>
              </w:rPr>
              <w:t xml:space="preserve">-выявлять проблемы и факторы, влияющие на развитие принципов циркулярной экономики в России; 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Оценка результатов выполнения практической работы №4</w:t>
            </w:r>
          </w:p>
        </w:tc>
      </w:tr>
      <w:tr>
        <w:trPr>
          <w:trHeight w:val="774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6"/>
                <w:szCs w:val="26"/>
                <w:lang w:eastAsia="ru-RU"/>
              </w:rPr>
              <w:t xml:space="preserve">-перерабатывать отходы и производить новые товары из старых, а также использовать возобновляемые источники энергии; 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Оценка результатов выполнения практической работы №2</w:t>
            </w:r>
          </w:p>
        </w:tc>
      </w:tr>
      <w:tr>
        <w:trPr>
          <w:trHeight w:val="774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6"/>
                <w:szCs w:val="26"/>
                <w:lang w:eastAsia="ru-RU"/>
              </w:rPr>
              <w:t>-разрабатывать и использовать инновационные бизнес-модели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Оценка результатов выполнения практической работы №2,3</w:t>
            </w:r>
          </w:p>
        </w:tc>
      </w:tr>
      <w:tr>
        <w:trPr>
          <w:trHeight w:val="190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</w:tr>
      <w:tr>
        <w:trPr>
          <w:trHeight w:val="774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6"/>
                <w:szCs w:val="26"/>
                <w:lang w:eastAsia="ru-RU"/>
              </w:rPr>
              <w:t xml:space="preserve">-принимать участие в разработке теоретико-методической основы принятия стратегических и операционных решений предприятий по поэтапному переходу к принципам циркулярной экономики; 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Оценка результатов выполнения практических работ №2,3,4</w:t>
            </w:r>
          </w:p>
        </w:tc>
      </w:tr>
      <w:tr>
        <w:trPr>
          <w:trHeight w:val="583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6"/>
                <w:szCs w:val="26"/>
                <w:lang w:eastAsia="ru-RU"/>
              </w:rPr>
              <w:t xml:space="preserve">-исследовать экологических и социально-экономических эффектов циркулярной экономики, способствующих решению ряда глобальных экологических проблем; 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Оценка результатов выполнения практических работ №1,4</w:t>
            </w:r>
          </w:p>
        </w:tc>
      </w:tr>
      <w:tr>
        <w:trPr>
          <w:trHeight w:val="583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6"/>
                <w:szCs w:val="26"/>
                <w:lang w:eastAsia="ru-RU"/>
              </w:rPr>
              <w:t xml:space="preserve">-выявлять проблемы и факторы, влияющие на развитие принципов циркулярной экономики в России; 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Оценка результатов выполнения практических работ №1</w:t>
            </w:r>
          </w:p>
        </w:tc>
      </w:tr>
      <w:tr>
        <w:trPr>
          <w:trHeight w:val="774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6"/>
                <w:szCs w:val="26"/>
                <w:lang w:eastAsia="ru-RU"/>
              </w:rPr>
              <w:t xml:space="preserve">-перерабатывать отходы и производить новые товары из старых, а также использовать возобновляемые источники энергии; 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Оценка результатов выполнения практических работ №3</w:t>
            </w:r>
          </w:p>
        </w:tc>
      </w:tr>
      <w:tr>
        <w:trPr>
          <w:trHeight w:val="774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6"/>
                <w:szCs w:val="26"/>
                <w:lang w:eastAsia="ru-RU"/>
              </w:rPr>
              <w:t>-разрабатывать и использовать инновационные бизнес-модели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Оценка результатов выполнения практической работы №2</w:t>
            </w:r>
          </w:p>
        </w:tc>
      </w:tr>
      <w:tr>
        <w:trPr>
          <w:trHeight w:val="407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>
        <w:trPr>
          <w:trHeight w:val="407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 Оценка за: - выступление на занятиях с сообщениями; - содержание характеристики регионов</w:t>
            </w:r>
          </w:p>
        </w:tc>
      </w:tr>
      <w:tr>
        <w:trPr>
          <w:trHeight w:val="407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before="280" w:after="28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>
        <w:trPr>
          <w:trHeight w:val="407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8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- выступление на занятиях с сообщениями;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>
        <w:trPr>
          <w:trHeight w:val="407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- выступление на занятиях с сообщениями;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>
        <w:trPr>
          <w:trHeight w:val="407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 №1,2,4</w:t>
            </w:r>
          </w:p>
        </w:tc>
      </w:tr>
      <w:tr>
        <w:trPr>
          <w:trHeight w:val="407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</w:tr>
      <w:tr>
        <w:trPr>
          <w:trHeight w:val="407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 xml:space="preserve">ОК 11.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Использовать знания по финансовой грамотности</w:t>
            </w: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 xml:space="preserve"> Планировать предпринимательскую деятельность в профессиональной сфере.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6"/>
                <w:szCs w:val="26"/>
                <w:lang w:eastAsia="ru-RU"/>
              </w:rPr>
              <w:t>Оценка за: - умения использовать икт технологий в подготовке к занятиям - выступление на семинарах с сообщениями, рефератами;</w:t>
            </w:r>
          </w:p>
        </w:tc>
      </w:tr>
      <w:tr>
        <w:trPr>
          <w:trHeight w:val="407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>
        <w:trPr>
          <w:trHeight w:val="407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ЛР. 9 Экономически активный, предприимчивый, готовый к самозанятости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 демонстрации</w:t>
            </w:r>
            <w:r>
              <w:rPr>
                <w:rFonts w:cs="Times New Roman" w:ascii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интереса</w:t>
            </w:r>
            <w:r>
              <w:rPr>
                <w:rFonts w:cs="Times New Roman" w:ascii="Times New Roman" w:hAnsi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к</w:t>
            </w:r>
            <w:r>
              <w:rPr>
                <w:rFonts w:cs="Times New Roman" w:ascii="Times New Roman" w:hAnsi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будущей специальности.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</w:t>
            </w:r>
            <w:r>
              <w:rPr>
                <w:rFonts w:cs="Times New Roman" w:ascii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собственного</w:t>
            </w:r>
            <w:r>
              <w:rPr>
                <w:rFonts w:cs="Times New Roman" w:ascii="Times New Roman" w:hAnsi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продвижения,</w:t>
            </w:r>
            <w:r>
              <w:rPr>
                <w:rFonts w:cs="Times New Roman" w:ascii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личностного</w:t>
            </w:r>
            <w:r>
              <w:rPr>
                <w:rFonts w:cs="Times New Roman" w:ascii="Times New Roman" w:hAnsi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развития.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6"/>
                <w:szCs w:val="26"/>
                <w:lang w:eastAsia="ru-RU"/>
              </w:rPr>
            </w:r>
          </w:p>
        </w:tc>
      </w:tr>
      <w:tr>
        <w:trPr>
          <w:trHeight w:val="407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ЛР. 10 Способный в цифровой среде использовать различные цифровые средства, позволяющие во взаимодействии с другими людьми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 проявления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культуры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потребления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информации,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умений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навыков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пользования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компьютерной,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навыков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отбора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критического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анализа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информации,</w:t>
            </w:r>
            <w:r>
              <w:rPr>
                <w:rFonts w:cs="Times New Roman" w:ascii="Times New Roman" w:hAnsi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умения</w:t>
            </w:r>
            <w:r>
              <w:rPr>
                <w:rFonts w:cs="Times New Roman"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ориентироваться</w:t>
            </w:r>
            <w:r>
              <w:rPr>
                <w:rFonts w:cs="Times New Roman"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в</w:t>
            </w:r>
            <w:r>
              <w:rPr>
                <w:rFonts w:cs="Times New Roman" w:ascii="Times New Roman" w:hAnsi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информационном</w:t>
            </w:r>
            <w:r>
              <w:rPr>
                <w:rFonts w:cs="Times New Roman"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пространстве.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6"/>
                <w:szCs w:val="26"/>
                <w:lang w:eastAsia="ru-RU"/>
              </w:rPr>
            </w:r>
          </w:p>
        </w:tc>
      </w:tr>
      <w:tr>
        <w:trPr>
          <w:trHeight w:val="407" w:hRule="atLeast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ЛР.14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Заботящийся о защите окружающей среды, собственной и чужой безопасности,</w:t>
            </w:r>
            <w:r>
              <w:rPr>
                <w:rFonts w:cs="Times New Roman"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в</w:t>
            </w:r>
            <w:r>
              <w:rPr>
                <w:rFonts w:cs="Times New Roman" w:ascii="Times New Roman" w:hAnsi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том</w:t>
            </w:r>
            <w:r>
              <w:rPr>
                <w:rFonts w:cs="Times New Roman"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числе</w:t>
            </w:r>
            <w:r>
              <w:rPr>
                <w:rFonts w:cs="Times New Roman"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цифровой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tabs>
                <w:tab w:val="left" w:pos="824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 проявления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экологической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культуры,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бережного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отношения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к</w:t>
            </w:r>
            <w:r>
              <w:rPr>
                <w:rFonts w:cs="Times New Roman" w:ascii="Times New Roman" w:hAnsi="Times New Roman"/>
                <w:spacing w:val="70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родной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земле,</w:t>
            </w:r>
            <w:r>
              <w:rPr>
                <w:rFonts w:cs="Times New Roman"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природным богатствам России и</w:t>
            </w:r>
            <w:r>
              <w:rPr>
                <w:rFonts w:cs="Times New Roman" w:ascii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мира. проявление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экологической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культуры,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бережного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отношения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к</w:t>
            </w:r>
            <w:r>
              <w:rPr>
                <w:rFonts w:cs="Times New Roman" w:ascii="Times New Roman" w:hAnsi="Times New Roman"/>
                <w:spacing w:val="70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родной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земле,</w:t>
            </w:r>
            <w:r>
              <w:rPr>
                <w:rFonts w:cs="Times New Roman"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природным богатствам России и</w:t>
            </w:r>
            <w:r>
              <w:rPr>
                <w:rFonts w:cs="Times New Roman" w:ascii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мира.</w:t>
            </w:r>
          </w:p>
          <w:p>
            <w:pPr>
              <w:pStyle w:val="ListParagraph"/>
              <w:tabs>
                <w:tab w:val="left" w:pos="824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6"/>
                <w:szCs w:val="26"/>
              </w:rPr>
              <w:t>-</w:t>
            </w:r>
            <w:r>
              <w:rPr>
                <w:rFonts w:cs="Times New Roman" w:ascii="Times New Roman" w:hAnsi="Times New Roman"/>
                <w:bCs/>
                <w:iCs/>
                <w:sz w:val="26"/>
                <w:szCs w:val="26"/>
              </w:rPr>
              <w:t>оценка информационной грамотности.</w:t>
            </w:r>
            <w:bookmarkStart w:id="25" w:name="_Hlk32744921"/>
            <w:bookmarkEnd w:id="25"/>
          </w:p>
        </w:tc>
      </w:tr>
    </w:tbl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76" w:before="0" w:after="160"/>
        <w:jc w:val="both"/>
        <w:rPr/>
      </w:pPr>
      <w:r>
        <w:rPr/>
      </w:r>
    </w:p>
    <w:sectPr>
      <w:footerReference w:type="default" r:id="rId6"/>
      <w:type w:val="nextPage"/>
      <w:pgSz w:w="11906" w:h="16838"/>
      <w:pgMar w:left="1701" w:right="850" w:header="0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Wingdings 2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031535782"/>
    </w:sdtPr>
    <w:sdtContent>
      <w:p>
        <w:pPr>
          <w:pStyle w:val="Style23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  <w:p>
        <w:pPr>
          <w:pStyle w:val="Style23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584054233"/>
    </w:sdtPr>
    <w:sdtContent>
      <w:p>
        <w:pPr>
          <w:pStyle w:val="Style23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  <w:p>
        <w:pPr>
          <w:pStyle w:val="Style23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59628534"/>
    </w:sdtPr>
    <w:sdtContent>
      <w:p>
        <w:pPr>
          <w:pStyle w:val="Style23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  <w:p>
        <w:pPr>
          <w:pStyle w:val="Style23"/>
          <w:rPr/>
        </w:pPr>
        <w:r>
          <w:rPr/>
        </w:r>
      </w:p>
    </w:sdtContent>
  </w:sdt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52981216"/>
    </w:sdtPr>
    <w:sdtContent>
      <w:p>
        <w:pPr>
          <w:pStyle w:val="Style23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  <w:p>
        <w:pPr>
          <w:pStyle w:val="Style23"/>
          <w:rPr/>
        </w:pPr>
        <w:r>
          <w:rPr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suff w:val="space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lvl w:ilvl="0">
      <w:start w:val="1"/>
      <w:numFmt w:val="decimal"/>
      <w:suff w:val="nothing"/>
      <w:lvlText w:val="%1."/>
      <w:lvlJc w:val="left"/>
      <w:pPr>
        <w:ind w:left="0" w:hanging="0"/>
      </w:pPr>
      <w:rPr>
        <w:sz w:val="26"/>
        <w:b/>
        <w:bCs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suff w:val="space"/>
      <w:lvlText w:val="%1."/>
      <w:lvlJc w:val="left"/>
      <w:pPr>
        <w:ind w:left="0" w:hanging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suff w:val="space"/>
      <w:lvlText w:val="%1."/>
      <w:lvlJc w:val="left"/>
      <w:pPr>
        <w:ind w:left="0" w:hanging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5a211d"/>
    <w:rPr>
      <w:color w:val="0563C1" w:themeColor="hyperlink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5a211d"/>
    <w:rPr>
      <w:color w:val="605E5C"/>
      <w:shd w:fill="E1DFDD" w:val="clear"/>
    </w:rPr>
  </w:style>
  <w:style w:type="character" w:styleId="C6" w:customStyle="1">
    <w:name w:val="c6"/>
    <w:basedOn w:val="DefaultParagraphFont"/>
    <w:qFormat/>
    <w:rsid w:val="002f7612"/>
    <w:rPr/>
  </w:style>
  <w:style w:type="character" w:styleId="Linenumber">
    <w:name w:val="line number"/>
    <w:basedOn w:val="DefaultParagraphFont"/>
    <w:uiPriority w:val="99"/>
    <w:semiHidden/>
    <w:unhideWhenUsed/>
    <w:qFormat/>
    <w:rsid w:val="00ed14c9"/>
    <w:rPr/>
  </w:style>
  <w:style w:type="character" w:styleId="Style15" w:customStyle="1">
    <w:name w:val="Верхний колонтитул Знак"/>
    <w:basedOn w:val="DefaultParagraphFont"/>
    <w:link w:val="a7"/>
    <w:uiPriority w:val="99"/>
    <w:qFormat/>
    <w:rsid w:val="00ed14c9"/>
    <w:rPr/>
  </w:style>
  <w:style w:type="character" w:styleId="Style16" w:customStyle="1">
    <w:name w:val="Нижний колонтитул Знак"/>
    <w:basedOn w:val="DefaultParagraphFont"/>
    <w:link w:val="a9"/>
    <w:uiPriority w:val="99"/>
    <w:qFormat/>
    <w:rsid w:val="00ed14c9"/>
    <w:rPr/>
  </w:style>
  <w:style w:type="character" w:styleId="2" w:customStyle="1">
    <w:name w:val="Основной текст с отступом 2 Знак"/>
    <w:basedOn w:val="DefaultParagraphFont"/>
    <w:link w:val="2"/>
    <w:qFormat/>
    <w:rsid w:val="005510a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WW8Num3z1" w:customStyle="1">
    <w:name w:val="WW8Num3z1"/>
    <w:qFormat/>
    <w:rsid w:val="000f0598"/>
    <w:rPr>
      <w:rFonts w:ascii="Wingdings 2" w:hAnsi="Wingdings 2" w:cs="StarSymbol"/>
      <w:sz w:val="18"/>
      <w:szCs w:val="18"/>
    </w:rPr>
  </w:style>
  <w:style w:type="character" w:styleId="ListLabel1">
    <w:name w:val="ListLabel 1"/>
    <w:qFormat/>
    <w:rPr>
      <w:rFonts w:ascii="Times New Roman" w:hAnsi="Times New Roman"/>
      <w:b/>
      <w:sz w:val="24"/>
    </w:rPr>
  </w:style>
  <w:style w:type="character" w:styleId="ListLabel2">
    <w:name w:val="ListLabel 2"/>
    <w:qFormat/>
    <w:rPr>
      <w:b/>
    </w:rPr>
  </w:style>
  <w:style w:type="character" w:styleId="ListLabel3">
    <w:name w:val="ListLabel 3"/>
    <w:qFormat/>
    <w:rPr>
      <w:b/>
    </w:rPr>
  </w:style>
  <w:style w:type="character" w:styleId="ListLabel4">
    <w:name w:val="ListLabel 4"/>
    <w:qFormat/>
    <w:rPr>
      <w:b/>
    </w:rPr>
  </w:style>
  <w:style w:type="character" w:styleId="ListLabel5">
    <w:name w:val="ListLabel 5"/>
    <w:qFormat/>
    <w:rPr>
      <w:b/>
    </w:rPr>
  </w:style>
  <w:style w:type="character" w:styleId="ListLabel6">
    <w:name w:val="ListLabel 6"/>
    <w:qFormat/>
    <w:rPr>
      <w:b/>
    </w:rPr>
  </w:style>
  <w:style w:type="character" w:styleId="ListLabel7">
    <w:name w:val="ListLabel 7"/>
    <w:qFormat/>
    <w:rPr>
      <w:b/>
    </w:rPr>
  </w:style>
  <w:style w:type="character" w:styleId="ListLabel8">
    <w:name w:val="ListLabel 8"/>
    <w:qFormat/>
    <w:rPr>
      <w:b/>
    </w:rPr>
  </w:style>
  <w:style w:type="character" w:styleId="ListLabel9">
    <w:name w:val="ListLabel 9"/>
    <w:qFormat/>
    <w:rPr>
      <w:b/>
    </w:rPr>
  </w:style>
  <w:style w:type="character" w:styleId="ListLabel10">
    <w:name w:val="ListLabel 10"/>
    <w:qFormat/>
    <w:rPr>
      <w:b/>
    </w:rPr>
  </w:style>
  <w:style w:type="character" w:styleId="ListLabel11">
    <w:name w:val="ListLabel 11"/>
    <w:qFormat/>
    <w:rPr>
      <w:rFonts w:ascii="Times New Roman" w:hAnsi="Times New Roman"/>
      <w:b/>
      <w:bCs w:val="false"/>
      <w:sz w:val="26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Symbol"/>
      <w:w w:val="100"/>
      <w:sz w:val="24"/>
      <w:szCs w:val="28"/>
      <w:lang w:val="ru-RU" w:eastAsia="en-US" w:bidi="ar-SA"/>
    </w:rPr>
  </w:style>
  <w:style w:type="character" w:styleId="ListLabel16">
    <w:name w:val="ListLabel 16"/>
    <w:qFormat/>
    <w:rPr>
      <w:rFonts w:cs="Symbol"/>
      <w:lang w:val="ru-RU" w:eastAsia="en-US" w:bidi="ar-SA"/>
    </w:rPr>
  </w:style>
  <w:style w:type="character" w:styleId="ListLabel17">
    <w:name w:val="ListLabel 17"/>
    <w:qFormat/>
    <w:rPr>
      <w:rFonts w:cs="Symbol"/>
      <w:lang w:val="ru-RU" w:eastAsia="en-US" w:bidi="ar-SA"/>
    </w:rPr>
  </w:style>
  <w:style w:type="character" w:styleId="ListLabel18">
    <w:name w:val="ListLabel 18"/>
    <w:qFormat/>
    <w:rPr>
      <w:rFonts w:cs="Symbol"/>
      <w:lang w:val="ru-RU" w:eastAsia="en-US" w:bidi="ar-SA"/>
    </w:rPr>
  </w:style>
  <w:style w:type="character" w:styleId="ListLabel19">
    <w:name w:val="ListLabel 19"/>
    <w:qFormat/>
    <w:rPr>
      <w:rFonts w:cs="Symbol"/>
      <w:lang w:val="ru-RU" w:eastAsia="en-US" w:bidi="ar-SA"/>
    </w:rPr>
  </w:style>
  <w:style w:type="character" w:styleId="ListLabel20">
    <w:name w:val="ListLabel 20"/>
    <w:qFormat/>
    <w:rPr>
      <w:rFonts w:cs="Symbol"/>
      <w:lang w:val="ru-RU" w:eastAsia="en-US" w:bidi="ar-SA"/>
    </w:rPr>
  </w:style>
  <w:style w:type="character" w:styleId="ListLabel21">
    <w:name w:val="ListLabel 21"/>
    <w:qFormat/>
    <w:rPr>
      <w:rFonts w:cs="Symbol"/>
      <w:lang w:val="ru-RU" w:eastAsia="en-US" w:bidi="ar-SA"/>
    </w:rPr>
  </w:style>
  <w:style w:type="character" w:styleId="ListLabel22">
    <w:name w:val="ListLabel 22"/>
    <w:qFormat/>
    <w:rPr>
      <w:rFonts w:cs="Symbol"/>
      <w:lang w:val="ru-RU" w:eastAsia="en-US" w:bidi="ar-SA"/>
    </w:rPr>
  </w:style>
  <w:style w:type="character" w:styleId="ListLabel23">
    <w:name w:val="ListLabel 23"/>
    <w:qFormat/>
    <w:rPr>
      <w:rFonts w:cs="Symbol"/>
      <w:lang w:val="ru-RU" w:eastAsia="en-US" w:bidi="ar-SA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b01dfa"/>
    <w:pPr>
      <w:spacing w:before="0" w:after="160"/>
      <w:ind w:left="720" w:hanging="0"/>
      <w:contextualSpacing/>
    </w:pPr>
    <w:rPr/>
  </w:style>
  <w:style w:type="paragraph" w:styleId="C8" w:customStyle="1">
    <w:name w:val="c8"/>
    <w:basedOn w:val="Normal"/>
    <w:qFormat/>
    <w:rsid w:val="002f761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">
    <w:name w:val="Header"/>
    <w:basedOn w:val="Normal"/>
    <w:link w:val="a8"/>
    <w:uiPriority w:val="99"/>
    <w:unhideWhenUsed/>
    <w:rsid w:val="00ed14c9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a"/>
    <w:uiPriority w:val="99"/>
    <w:unhideWhenUsed/>
    <w:rsid w:val="00ed14c9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6f6ba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0"/>
    <w:qFormat/>
    <w:rsid w:val="005510a1"/>
    <w:pPr>
      <w:spacing w:lineRule="auto" w:line="48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ableParagraph" w:customStyle="1">
    <w:name w:val="Table Paragraph"/>
    <w:basedOn w:val="Normal"/>
    <w:uiPriority w:val="1"/>
    <w:qFormat/>
    <w:rsid w:val="005510a1"/>
    <w:pPr>
      <w:spacing w:lineRule="auto" w:line="240" w:before="0" w:after="0"/>
      <w:ind w:left="110" w:hanging="0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663a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B375E-5369-4583-9BE1-8A430388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Application>LibreOffice/6.1.0.3$Windows_x86 LibreOffice_project/efb621ed25068d70781dc026f7e9c5187a4decd1</Application>
  <Pages>14</Pages>
  <Words>1758</Words>
  <Characters>13174</Characters>
  <CharactersWithSpaces>14729</CharactersWithSpaces>
  <Paragraphs>246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2019-10-16T19:27:00Z</dcterms:created>
  <dc:creator>Анна</dc:creator>
  <dc:description/>
  <dc:language>ru-RU</dc:language>
  <cp:lastModifiedBy/>
  <dcterms:modified xsi:type="dcterms:W3CDTF">2022-10-26T08:41:19Z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